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0c7b295e943b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MUZEJSKI DOKUMENTACIJSKI CENTAR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641.888,70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694.398,68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623.055,02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707.093,38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12.694,70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20.762,17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8.525,16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20.762,17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8.525,16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1.928,49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21.219,86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1100,3</w:t>
            </w:r>
          </w:p>
        </w:tc>
      </w:tr>
    </w:tbl>
    <w:p>
      <w:pPr>
        <w:spacing w:before="0" w:after="0"/>
      </w:pPr>
    </w:p>
    <w:p>
      <w:r>
        <w:t xml:space="preserve">U navedenom razdoblju ukupni prihodi poslovanja iznosili su 694.398,68 € i rashodi poslovanja u iznosu od 707.093,38 € temeljem čega je ostvaren  manjak prihoda poslovanja u iznosu od 12.694,70 €:  U istom periodu ostvaren je  i manjak prihoda od nefinancijske imovine u iznosu od 8.525,16 € iz razloga što u tekućem razdoblju nije bilo ostvarenih prihoda od nefinancijske imovine pa se stoga ovaj manjak pokriva sredstvima sa konta 6362 i 6712 jer je nastao kao metodološki manjak. Na kraju izvještajnog razdoblja nastao je ukupan manjak prihoda i primitaka u iznosu od 21.219,86 €.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641.888,70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694.398,68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Prihodi poslovanja iznose 694.398,68 €,  sa povećanjem od 8,2 % u odnosu na prethodnu godinu, a na povećanje utjecalo je povećanje vrijednosti koeficijenata za plaće što je dovelo do povećanja troškova za isplate plaća pa su stoga i prihodi morali biti povećani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35.458,12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30,6</w:t>
            </w:r>
          </w:p>
        </w:tc>
      </w:tr>
    </w:tbl>
    <w:p>
      <w:pPr>
        <w:spacing w:before="0" w:after="0"/>
      </w:pPr>
    </w:p>
    <w:p>
      <w:r>
        <w:t xml:space="preserve">Na ovoj stavci evidentiraju se prihodi u iznosu 10.850,00 €, sa indexom  30,6%. Do smanjenja prihoda došlo je zbog toga što je prethodne godine primljen iznos od HZZ-a za zapošljavanje pripravnika u cijelom iznosu koji je pokrivao prethodnu i tekuću godinu, pa  stoga prihoda u tekućoj godini nije bilo jer je primljen za obje godine zajedno, a primljen je samo prihod od gradskog proračuna za financiranje programa.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17.267,79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194,4</w:t>
            </w:r>
          </w:p>
        </w:tc>
      </w:tr>
    </w:tbl>
    <w:p>
      <w:pPr>
        <w:spacing w:before="0" w:after="0"/>
      </w:pPr>
    </w:p>
    <w:p>
      <w:r>
        <w:t xml:space="preserve">Povećanje prihoda od prodaje i usluga u iznosu od 33.561,49 € rezultat je prodaje vlastitih izdanja i prihoda primljenih za obavljanje stručnih ispita za muzejska zvanja, a oba prihoda variraju od godine do godine, osobito prihodi za usluge jer broj kanditata za stručne ispite varira svake godine i ne može se predvidjeti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589.161,89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649.986,34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</w:tbl>
    <w:p>
      <w:pPr>
        <w:spacing w:before="0" w:after="0"/>
      </w:pPr>
    </w:p>
    <w:p>
      <w:r>
        <w:t xml:space="preserve">Prihod iz nadležnog proračuna iznosio je 649.986,34 € i povećani su iz razloga što se tijekom godine mijenjala vrijednost koeficijenta za isplatu plaća pa je stoga i ovaj prihod rastao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7.075,16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42,7</w:t>
            </w:r>
          </w:p>
        </w:tc>
      </w:tr>
    </w:tbl>
    <w:p>
      <w:pPr>
        <w:spacing w:before="0" w:after="0"/>
      </w:pPr>
    </w:p>
    <w:p>
      <w:r>
        <w:t xml:space="preserve">Ovaj prihod iznosio je 7.075,16 € i manji je u odnosu na prethodnu godinu iz razloga što se iz njega financiraju investicijski programi koji se utvrđuju prema programskoj djelatnosti za svaku godinu i variraju od godine do godine ovisno o potrebama ustanove i planiranim programima za tekuću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623.055,02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707.093,38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Rashodi su povećani 13,5% u odnosu na prethodnu godinu i iznose 707.093,38 €, a najvećim dijelom radi porasta iznosa za isplate plaća do kojeg je došlo uslijed donošenja izmjene Uredbe o nazivima radnih mjesta , nove Sistematizacije radnih mjesta, povećanjem koeficijenata za isplate plaća i zapošljavanja pripravnika.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16.691,67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452,4</w:t>
            </w:r>
          </w:p>
        </w:tc>
      </w:tr>
    </w:tbl>
    <w:p>
      <w:pPr>
        <w:spacing w:before="0" w:after="0"/>
      </w:pPr>
    </w:p>
    <w:p>
      <w:r>
        <w:t xml:space="preserve">Iznos za računalne usluge  iznosi 16.691,67 €  povećan je u indexu od 452,4 % do kojeg je došlo temeljem predviđenog troška u sklopu programske djelatnosti,  a koji se odnosi na održavanje i nadogradnju prethodno nabavljenih programa specifičnih za muzejsku djelatnost što je bilo predviđeno programima za tekuću godinu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353,4</w:t>
            </w:r>
          </w:p>
        </w:tc>
      </w:tr>
    </w:tbl>
    <w:p>
      <w:pPr>
        <w:spacing w:before="0" w:after="0"/>
      </w:pPr>
    </w:p>
    <w:p>
      <w:r>
        <w:t xml:space="preserve">Ova stavka uvećana je u indexu 353,4 %  i iznosi 1.532,03 €, a odnosi se na ostale nespomenute izdatke. Na ovoj stavci evidentiraju se svi ostali troškovi koje je teško svrstati u postojeći kontni plan i obuhvaćaju razne troškove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20.762,17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8.525,16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41,1</w:t>
            </w:r>
          </w:p>
        </w:tc>
      </w:tr>
    </w:tbl>
    <w:p>
      <w:pPr>
        <w:spacing w:before="0" w:after="0"/>
      </w:pPr>
    </w:p>
    <w:p>
      <w:r>
        <w:t xml:space="preserve">Na ovoj stavci evidentira se trošak za dugotrajnu imovinu u iznosu 8.525,16 € sa indexom 41,1 %. Manji je u odnosu na prethodnu godinu iz razloga jer je programima za tekuću godinu planirano manje investicija, što varira od godine do godine ovisno o potrebama za određene programe ili za redovnu djelatnost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5.076,60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331,9</w:t>
            </w:r>
          </w:p>
        </w:tc>
      </w:tr>
    </w:tbl>
    <w:p>
      <w:pPr>
        <w:spacing w:before="0" w:after="0"/>
      </w:pPr>
    </w:p>
    <w:p>
      <w:r>
        <w:t xml:space="preserve">Na ovoj stavci evidentiran je porast nabave za opremu u iznosu od 5.076,60 € i sa indexom 331,9 % iz razloga što je programima za tekuću godinu bilo planirano i odobreno više sredstava za tu svrhu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55,4</w:t>
            </w:r>
          </w:p>
        </w:tc>
      </w:tr>
    </w:tbl>
    <w:p>
      <w:pPr>
        <w:spacing w:before="0" w:after="0"/>
      </w:pPr>
    </w:p>
    <w:p>
      <w:r>
        <w:t xml:space="preserve">Sredstva za nabavu knjiga za knjižnicu iznosila su 2.943,57 €, financiraju se isključivo iz programske djelatnosti i smanjena su u odnosu na prethodnu godinu, a financiraju se iz 2 izvora, i to iz proračuna i gradskog proračuna za koje su primljena manja sredstva nego prethodne godine, te su utrošena u skladu s primljenim sredstvima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3,6</w:t>
            </w:r>
          </w:p>
        </w:tc>
      </w:tr>
    </w:tbl>
    <w:p>
      <w:pPr>
        <w:spacing w:before="0" w:after="0"/>
      </w:pPr>
    </w:p>
    <w:p>
      <w:r>
        <w:t xml:space="preserve">Na ovoj stavci nabavljena je imovina u iznosu od 504,99 €   sa indexom 3,6% iz razloga što su prethodne godine na ovoj stavci programima bila planirana sredstva u navedenom iznosu od 13.920,00 €, a za tekuću godinu nisu bila planirana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199.599,24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176.947,16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Na ovoj stavci evidentira se stanje imovine u iznosu od 176.947,16 € sa indexom 88,7 % gdje je došlo do smanjenja imovine zbog rashodovanja dotrajale i neupotrebljive imovine utvrđene godišnjim popisom, i troška amortizacije postojeće imovine,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168.275,19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150.066,52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89,2</w:t>
            </w:r>
          </w:p>
        </w:tc>
      </w:tr>
    </w:tbl>
    <w:p>
      <w:pPr>
        <w:spacing w:before="0" w:after="0"/>
      </w:pPr>
    </w:p>
    <w:p>
      <w:r>
        <w:t xml:space="preserve">Financijska imovina u iznosu od 150.066,52 obuhvaća sredstva na žiro računu i blagajni, manja su u odnosu na pretodnu godinu i prenose se u narednu godinu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48.463,88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</w:tbl>
    <w:p>
      <w:pPr>
        <w:spacing w:before="0" w:after="0"/>
      </w:pPr>
    </w:p>
    <w:p>
      <w:r>
        <w:t xml:space="preserve">Na stavci obveza evidentira se povećanje obveza u indexu 106,2% u iznosu 51.475,07 € i odnosi se na stanje nedospjelih obveza za plaće i materijalne rashode koji će biti podmireni u narednom razdoblju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151.135,36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125.472,09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Vlastiti izvori u iznosu od 125.472,09 € manji su u odnosu na prethodnu godinu za 17% iz istog razloga radi kojeg je došlo do smanjenja imovine kako je prethodno objašnjeno uslijed rashodovanja imovine i troška amortizacije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11.212,14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34,6</w:t>
            </w:r>
          </w:p>
        </w:tc>
      </w:tr>
    </w:tbl>
    <w:p>
      <w:pPr>
        <w:spacing w:before="0" w:after="0"/>
      </w:pPr>
    </w:p>
    <w:p>
      <w:r>
        <w:t xml:space="preserve">Na kontu 922 evidentira se višak prihoda  u iznosu od 11.212,14 € sa indexom 34,6 % iz razloga što se ukupno nastali manjak poslovanja ostvaren u 2025. godini u iznosu od 22.219,86 € (kako je prikazano u PR-RAS obrascu ) pokriva iz viška prihoda prethodnog razdoblja što daje konačni višak prihoda u iznosu od 11.212,14 €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643.817,19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715.618,54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U izvještaju na šifri  082- službe kulture iskazan je iznos ukupnih rashoda 715.618,54 € identično kao i u PR-RAS obrascu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20.769,33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imovine na stavci smanjenja odnose se na trošak amortizacije dugotrajne imovine obavljene prema propisanim amortizacijskim stopama u iznosu od 20.769,33 €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7.800,76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obujma imovine odnosi se na primitak knjiga za knjižnicu primljenih poklonima i razmjenom čime se povećao fond knjižnice  u iznosu od 7.800,76 €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predmetnom razdoblju nema dospjelih obveza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iznosi 51.475,07 € i obuhvaća obveze za isplatu plaća za 12/2025. i materijalnih rashoda koji nisu dospjeli na naplatu i bit će podmirene odmah na  početku 2026. godine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47bef99bc4d29" /></Relationships>
</file>